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hyperlink w:history="1" r:id="rIdn8ajjvqsasolzm4vs6jmb">
        <w:r>
          <w:rPr>
            <w:rFonts w:ascii="Calibri" w:cs="Calibri" w:eastAsia="Calibri" w:hAnsi="Calibri"/>
            <w:color w:val="1155CC"/>
            <w:sz w:val="18"/>
            <w:szCs w:val="18"/>
            <w:u w:val="single"/>
          </w:rPr>
          <w:t xml:space="preserve">mymanagementguide.com/terms-of-reference-tor-template/</w:t>
        </w:r>
      </w:hyperlink>
    </w:p>
    <w:p>
      <w:pPr>
        <w:spacing w:after="100"/>
      </w:pPr>
      <w:r>
        <w:rPr>
          <w:rFonts w:ascii="Calibri" w:cs="Calibri" w:eastAsia="Calibri" w:hAnsi="Calibri"/>
          <w:b/>
          <w:bCs/>
          <w:color w:val="1F3864"/>
          <w:sz w:val="40"/>
          <w:szCs w:val="40"/>
        </w:rPr>
        <w:t xml:space="preserve">Practice Exercise: Write Your Own ToR</w:t>
      </w:r>
    </w:p>
    <w:p>
      <w:pPr>
        <w:shd w:fill="F4F6FA" w:val="clear"/>
        <w:spacing w:after="260"/>
      </w:pPr>
      <w:r>
        <w:rPr>
          <w:rFonts w:ascii="Calibri" w:cs="Calibri" w:eastAsia="Calibri" w:hAnsi="Calibri"/>
          <w:i/>
          <w:iCs/>
          <w:sz w:val="20"/>
          <w:szCs w:val="20"/>
        </w:rPr>
        <w:t xml:space="preserve">How to use this: read the scenario below, then draft your own ToR for it using the guiding questions under each heading, without looking at the model answer first. There's genuinely no single right answer here; the model answer on the following pages is one reasonable way to fill it in, not the correct one. Once you've written your own version, compare the two and note where and why they differ. This pairs with the free fillable template (separate download), which you can also use to write the exercise itself.</w:t>
      </w:r>
    </w:p>
    <w:p>
      <w:pPr>
        <w:pStyle w:val="Heading1"/>
        <w:spacing w:after="100" w:before="320"/>
      </w:pPr>
      <w:r>
        <w:rPr>
          <w:rFonts w:ascii="Calibri" w:cs="Calibri" w:eastAsia="Calibri" w:hAnsi="Calibri"/>
          <w:b/>
          <w:bCs/>
          <w:color w:val="1F3864"/>
          <w:sz w:val="26"/>
          <w:szCs w:val="26"/>
        </w:rPr>
        <w:t xml:space="preserve">The Scenario</w:t>
      </w:r>
    </w:p>
    <w:p>
      <w:pPr>
        <w:shd w:fill="FFF7D6" w:val="clear"/>
        <w:spacing w:after="260"/>
      </w:pPr>
      <w:r>
        <w:rPr>
          <w:rFonts w:ascii="Calibri" w:cs="Calibri" w:eastAsia="Calibri" w:hAnsi="Calibri"/>
          <w:sz w:val="21"/>
          <w:szCs w:val="21"/>
        </w:rPr>
        <w:t xml:space="preserve">Your company's flagship product line hasn't had a structured look at customer satisfaction in over two years. What feedback exists is scattered across support tickets and a few informal surveys. Leadership has approved bringing in an external market-research agency to run a proper customer satisfaction survey and analysis, with results due in time to inform next year's product roadmap planning. You've been asked to write the ToR for the agency engagement.</w:t>
      </w:r>
    </w:p>
    <w:p>
      <w:pPr>
        <w:pStyle w:val="Heading1"/>
        <w:spacing w:after="100" w:before="320"/>
      </w:pPr>
      <w:r>
        <w:rPr>
          <w:rFonts w:ascii="Calibri" w:cs="Calibri" w:eastAsia="Calibri" w:hAnsi="Calibri"/>
          <w:b/>
          <w:bCs/>
          <w:color w:val="1F3864"/>
          <w:sz w:val="26"/>
          <w:szCs w:val="26"/>
        </w:rPr>
        <w:t xml:space="preserve">1. Background</w:t>
      </w:r>
    </w:p>
    <w:p>
      <w:pPr>
        <w:spacing w:after="60"/>
      </w:pPr>
      <w:r>
        <w:rPr>
          <w:rFonts w:ascii="Calibri" w:cs="Calibri" w:eastAsia="Calibri" w:hAnsi="Calibri"/>
          <w:i/>
          <w:iCs/>
          <w:color w:val="757575"/>
          <w:sz w:val="19"/>
          <w:szCs w:val="19"/>
        </w:rPr>
        <w:t xml:space="preserve">What's the situation that makes this engagement necessary? Why now, and why an external agency rather than doing it in-house?</w:t>
      </w:r>
    </w:p>
    <w:p>
      <w:pPr>
        <w:pBdr>
          <w:bottom w:val="single" w:color="BFBFBF" w:sz="4" w:space="4"/>
        </w:pBdr>
        <w:spacing w:after="220"/>
      </w:pPr>
      <w:r>
        <w:rPr>
          <w:rFonts w:ascii="Calibri" w:cs="Calibri" w:eastAsia="Calibri" w:hAnsi="Calibri"/>
          <w:sz w:val="21"/>
          <w:szCs w:val="21"/>
        </w:rPr>
        <w:t xml:space="preserve"> </w:t>
      </w:r>
    </w:p>
    <w:p>
      <w:pPr>
        <w:pBdr>
          <w:bottom w:val="single" w:color="BFBFBF" w:sz="4" w:space="4"/>
        </w:pBdr>
        <w:spacing w:after="220"/>
      </w:pPr>
      <w:r>
        <w:rPr>
          <w:rFonts w:ascii="Calibri" w:cs="Calibri" w:eastAsia="Calibri" w:hAnsi="Calibri"/>
          <w:sz w:val="21"/>
          <w:szCs w:val="21"/>
        </w:rPr>
        <w:t xml:space="preserve"> </w:t>
      </w:r>
    </w:p>
    <w:p>
      <w:pPr>
        <w:pBdr>
          <w:bottom w:val="single" w:color="BFBFBF" w:sz="4" w:space="4"/>
        </w:pBdr>
        <w:spacing w:after="220"/>
      </w:pPr>
      <w:r>
        <w:rPr>
          <w:rFonts w:ascii="Calibri" w:cs="Calibri" w:eastAsia="Calibri" w:hAnsi="Calibri"/>
          <w:sz w:val="21"/>
          <w:szCs w:val="21"/>
        </w:rPr>
        <w:t xml:space="preserve"> </w:t>
      </w:r>
    </w:p>
    <w:p>
      <w:pPr>
        <w:pStyle w:val="Heading1"/>
        <w:spacing w:after="100" w:before="320"/>
      </w:pPr>
      <w:r>
        <w:rPr>
          <w:rFonts w:ascii="Calibri" w:cs="Calibri" w:eastAsia="Calibri" w:hAnsi="Calibri"/>
          <w:b/>
          <w:bCs/>
          <w:color w:val="1F3864"/>
          <w:sz w:val="26"/>
          <w:szCs w:val="26"/>
        </w:rPr>
        <w:t xml:space="preserve">2. Objectives</w:t>
      </w:r>
    </w:p>
    <w:p>
      <w:pPr>
        <w:spacing w:after="60"/>
      </w:pPr>
      <w:r>
        <w:rPr>
          <w:rFonts w:ascii="Calibri" w:cs="Calibri" w:eastAsia="Calibri" w:hAnsi="Calibri"/>
          <w:i/>
          <w:iCs/>
          <w:color w:val="757575"/>
          <w:sz w:val="19"/>
          <w:szCs w:val="19"/>
        </w:rPr>
        <w:t xml:space="preserve">What should the agency's work actually achieve? Aim for 2-4 specific, checkable outcomes, not “understand customer satisfaction,” but something you could confirm was or wasn't delivered.</w:t>
      </w:r>
    </w:p>
    <w:p>
      <w:pPr>
        <w:pStyle w:val="ListParagraph"/>
        <w:numPr>
          <w:ilvl w:val="0"/>
          <w:numId w:val="2"/>
        </w:numPr>
        <w:spacing w:after="60"/>
      </w:pPr>
      <w:r>
        <w:rPr>
          <w:rFonts w:ascii="Calibri" w:cs="Calibri" w:eastAsia="Calibri" w:hAnsi="Calibri"/>
          <w:i/>
          <w:iCs/>
          <w:color w:val="757575"/>
          <w:sz w:val="20"/>
          <w:szCs w:val="20"/>
        </w:rPr>
        <w:t xml:space="preserve">Objective 1</w:t>
      </w:r>
    </w:p>
    <w:p>
      <w:pPr>
        <w:pStyle w:val="ListParagraph"/>
        <w:numPr>
          <w:ilvl w:val="0"/>
          <w:numId w:val="2"/>
        </w:numPr>
        <w:spacing w:after="60"/>
      </w:pPr>
      <w:r>
        <w:rPr>
          <w:rFonts w:ascii="Calibri" w:cs="Calibri" w:eastAsia="Calibri" w:hAnsi="Calibri"/>
          <w:i/>
          <w:iCs/>
          <w:color w:val="757575"/>
          <w:sz w:val="20"/>
          <w:szCs w:val="20"/>
        </w:rPr>
        <w:t xml:space="preserve">Objective 2</w:t>
      </w:r>
    </w:p>
    <w:p>
      <w:pPr>
        <w:pStyle w:val="ListParagraph"/>
        <w:numPr>
          <w:ilvl w:val="0"/>
          <w:numId w:val="2"/>
        </w:numPr>
        <w:spacing w:after="60"/>
      </w:pPr>
      <w:r>
        <w:rPr>
          <w:rFonts w:ascii="Calibri" w:cs="Calibri" w:eastAsia="Calibri" w:hAnsi="Calibri"/>
          <w:i/>
          <w:iCs/>
          <w:color w:val="757575"/>
          <w:sz w:val="20"/>
          <w:szCs w:val="20"/>
        </w:rPr>
        <w:t xml:space="preserve">Objective 3</w:t>
      </w:r>
    </w:p>
    <w:p>
      <w:pPr>
        <w:pStyle w:val="Heading1"/>
        <w:spacing w:after="100" w:before="320"/>
      </w:pPr>
      <w:r>
        <w:rPr>
          <w:rFonts w:ascii="Calibri" w:cs="Calibri" w:eastAsia="Calibri" w:hAnsi="Calibri"/>
          <w:b/>
          <w:bCs/>
          <w:color w:val="1F3864"/>
          <w:sz w:val="26"/>
          <w:szCs w:val="26"/>
        </w:rPr>
        <w:t xml:space="preserve">3. Issues</w:t>
      </w:r>
    </w:p>
    <w:p>
      <w:pPr>
        <w:spacing w:after="60"/>
      </w:pPr>
      <w:r>
        <w:rPr>
          <w:rFonts w:ascii="Calibri" w:cs="Calibri" w:eastAsia="Calibri" w:hAnsi="Calibri"/>
          <w:i/>
          <w:iCs/>
          <w:color w:val="757575"/>
          <w:sz w:val="19"/>
          <w:szCs w:val="19"/>
        </w:rPr>
        <w:t xml:space="preserve">What's still open or unresolved going into this engagement? Anything that needs a decision or carries risk? Think about survey reach, timing, data ownership, or budget.</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1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Issue</w:t>
            </w:r>
          </w:p>
        </w:tc>
        <w:tc>
          <w:tcPr>
            <w:tcW w:type="dxa" w:w="14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Impact</w:t>
            </w:r>
          </w:p>
        </w:tc>
        <w:tc>
          <w:tcPr>
            <w:tcW w:type="dxa" w:w="14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Urgency</w:t>
            </w:r>
          </w:p>
        </w:tc>
        <w:tc>
          <w:tcPr>
            <w:tcW w:type="dxa" w:w="18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Owner</w:t>
            </w:r>
          </w:p>
        </w:tc>
        <w:tc>
          <w:tcPr>
            <w:tcW w:type="dxa" w:w="18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Status</w:t>
            </w:r>
          </w:p>
        </w:tc>
      </w:tr>
      <w:tr>
        <w:tc>
          <w:tcPr>
            <w:tcW w:type="dxa" w:w="31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r>
          </w:p>
        </w:tc>
        <w:tc>
          <w:tcPr>
            <w:tcW w:type="dxa" w:w="14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r>
          </w:p>
        </w:tc>
        <w:tc>
          <w:tcPr>
            <w:tcW w:type="dxa" w:w="14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r>
          </w:p>
        </w:tc>
        <w:tc>
          <w:tcPr>
            <w:tcW w:type="dxa" w:w="18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r>
          </w:p>
        </w:tc>
        <w:tc>
          <w:tcPr>
            <w:tcW w:type="dxa" w:w="18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r>
          </w:p>
        </w:tc>
      </w:tr>
      <w:tr>
        <w:tc>
          <w:tcPr>
            <w:tcW w:type="dxa" w:w="31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r>
          </w:p>
        </w:tc>
        <w:tc>
          <w:tcPr>
            <w:tcW w:type="dxa" w:w="14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r>
          </w:p>
        </w:tc>
        <w:tc>
          <w:tcPr>
            <w:tcW w:type="dxa" w:w="14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r>
          </w:p>
        </w:tc>
        <w:tc>
          <w:tcPr>
            <w:tcW w:type="dxa" w:w="18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r>
          </w:p>
        </w:tc>
        <w:tc>
          <w:tcPr>
            <w:tcW w:type="dxa" w:w="18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r>
          </w:p>
        </w:tc>
      </w:tr>
    </w:tbl>
    <w:p>
      <w:pPr>
        <w:pStyle w:val="Heading1"/>
        <w:spacing w:after="100" w:before="320"/>
      </w:pPr>
      <w:r>
        <w:rPr>
          <w:rFonts w:ascii="Calibri" w:cs="Calibri" w:eastAsia="Calibri" w:hAnsi="Calibri"/>
          <w:b/>
          <w:bCs/>
          <w:color w:val="1F3864"/>
          <w:sz w:val="26"/>
          <w:szCs w:val="26"/>
        </w:rPr>
        <w:t xml:space="preserve">4. Methodology</w:t>
      </w:r>
    </w:p>
    <w:p>
      <w:pPr>
        <w:spacing w:after="60"/>
      </w:pPr>
      <w:r>
        <w:rPr>
          <w:rFonts w:ascii="Calibri" w:cs="Calibri" w:eastAsia="Calibri" w:hAnsi="Calibri"/>
          <w:i/>
          <w:iCs/>
          <w:color w:val="757575"/>
          <w:sz w:val="19"/>
          <w:szCs w:val="19"/>
        </w:rPr>
        <w:t xml:space="preserve">How should the agency actually carry out the work: approach, data sources, sample size or reach, how findings get validated?</w:t>
      </w:r>
    </w:p>
    <w:p>
      <w:pPr>
        <w:pBdr>
          <w:bottom w:val="single" w:color="BFBFBF" w:sz="4" w:space="4"/>
        </w:pBdr>
        <w:spacing w:after="220"/>
      </w:pPr>
      <w:r>
        <w:rPr>
          <w:rFonts w:ascii="Calibri" w:cs="Calibri" w:eastAsia="Calibri" w:hAnsi="Calibri"/>
          <w:sz w:val="21"/>
          <w:szCs w:val="21"/>
        </w:rPr>
        <w:t xml:space="preserve"> </w:t>
      </w:r>
    </w:p>
    <w:p>
      <w:pPr>
        <w:pBdr>
          <w:bottom w:val="single" w:color="BFBFBF" w:sz="4" w:space="4"/>
        </w:pBdr>
        <w:spacing w:after="220"/>
      </w:pPr>
      <w:r>
        <w:rPr>
          <w:rFonts w:ascii="Calibri" w:cs="Calibri" w:eastAsia="Calibri" w:hAnsi="Calibri"/>
          <w:sz w:val="21"/>
          <w:szCs w:val="21"/>
        </w:rPr>
        <w:t xml:space="preserve"> </w:t>
      </w:r>
    </w:p>
    <w:p>
      <w:pPr>
        <w:pBdr>
          <w:bottom w:val="single" w:color="BFBFBF" w:sz="4" w:space="4"/>
        </w:pBdr>
        <w:spacing w:after="220"/>
      </w:pPr>
      <w:r>
        <w:rPr>
          <w:rFonts w:ascii="Calibri" w:cs="Calibri" w:eastAsia="Calibri" w:hAnsi="Calibri"/>
          <w:sz w:val="21"/>
          <w:szCs w:val="21"/>
        </w:rPr>
        <w:t xml:space="preserve"> </w:t>
      </w:r>
    </w:p>
    <w:p>
      <w:pPr>
        <w:pStyle w:val="Heading1"/>
        <w:spacing w:after="100" w:before="320"/>
      </w:pPr>
      <w:r>
        <w:rPr>
          <w:rFonts w:ascii="Calibri" w:cs="Calibri" w:eastAsia="Calibri" w:hAnsi="Calibri"/>
          <w:b/>
          <w:bCs/>
          <w:color w:val="1F3864"/>
          <w:sz w:val="26"/>
          <w:szCs w:val="26"/>
        </w:rPr>
        <w:t xml:space="preserve">5. Expertise Required</w:t>
      </w:r>
    </w:p>
    <w:p>
      <w:pPr>
        <w:spacing w:after="60"/>
      </w:pPr>
      <w:r>
        <w:rPr>
          <w:rFonts w:ascii="Calibri" w:cs="Calibri" w:eastAsia="Calibri" w:hAnsi="Calibri"/>
          <w:i/>
          <w:iCs/>
          <w:color w:val="757575"/>
          <w:sz w:val="19"/>
          <w:szCs w:val="19"/>
        </w:rPr>
        <w:t xml:space="preserve">What kind of team or skill set does the agency need to bring for this specific engagement?</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26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Role</w:t>
            </w:r>
          </w:p>
        </w:tc>
        <w:tc>
          <w:tcPr>
            <w:tcW w:type="dxa" w:w="12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Count</w:t>
            </w:r>
          </w:p>
        </w:tc>
        <w:tc>
          <w:tcPr>
            <w:tcW w:type="dxa" w:w="57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Key skills / responsibility</w:t>
            </w:r>
          </w:p>
        </w:tc>
      </w:tr>
      <w:tr>
        <w:tc>
          <w:tcPr>
            <w:tcW w:type="dxa" w:w="26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r>
          </w:p>
        </w:tc>
        <w:tc>
          <w:tcPr>
            <w:tcW w:type="dxa" w:w="12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r>
          </w:p>
        </w:tc>
        <w:tc>
          <w:tcPr>
            <w:tcW w:type="dxa" w:w="57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r>
          </w:p>
        </w:tc>
      </w:tr>
      <w:tr>
        <w:tc>
          <w:tcPr>
            <w:tcW w:type="dxa" w:w="26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r>
          </w:p>
        </w:tc>
        <w:tc>
          <w:tcPr>
            <w:tcW w:type="dxa" w:w="12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r>
          </w:p>
        </w:tc>
        <w:tc>
          <w:tcPr>
            <w:tcW w:type="dxa" w:w="57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r>
          </w:p>
        </w:tc>
      </w:tr>
    </w:tbl>
    <w:p>
      <w:pPr>
        <w:pStyle w:val="Heading1"/>
        <w:spacing w:after="100" w:before="320"/>
      </w:pPr>
      <w:r>
        <w:rPr>
          <w:rFonts w:ascii="Calibri" w:cs="Calibri" w:eastAsia="Calibri" w:hAnsi="Calibri"/>
          <w:b/>
          <w:bCs/>
          <w:color w:val="1F3864"/>
          <w:sz w:val="26"/>
          <w:szCs w:val="26"/>
        </w:rPr>
        <w:t xml:space="preserve">6. Reporting</w:t>
      </w:r>
    </w:p>
    <w:p>
      <w:pPr>
        <w:spacing w:after="60"/>
      </w:pPr>
      <w:r>
        <w:rPr>
          <w:rFonts w:ascii="Calibri" w:cs="Calibri" w:eastAsia="Calibri" w:hAnsi="Calibri"/>
          <w:i/>
          <w:iCs/>
          <w:color w:val="757575"/>
          <w:sz w:val="19"/>
          <w:szCs w:val="19"/>
        </w:rPr>
        <w:t xml:space="preserve">Who does the agency report to, how often, and in what format, over the course of the engagement?</w:t>
      </w:r>
    </w:p>
    <w:p>
      <w:pPr>
        <w:pBdr>
          <w:bottom w:val="single" w:color="BFBFBF" w:sz="4" w:space="4"/>
        </w:pBdr>
        <w:spacing w:after="220"/>
      </w:pPr>
      <w:r>
        <w:rPr>
          <w:rFonts w:ascii="Calibri" w:cs="Calibri" w:eastAsia="Calibri" w:hAnsi="Calibri"/>
          <w:sz w:val="21"/>
          <w:szCs w:val="21"/>
        </w:rPr>
        <w:t xml:space="preserve"> </w:t>
      </w:r>
    </w:p>
    <w:p>
      <w:pPr>
        <w:pBdr>
          <w:bottom w:val="single" w:color="BFBFBF" w:sz="4" w:space="4"/>
        </w:pBdr>
        <w:spacing w:after="220"/>
      </w:pPr>
      <w:r>
        <w:rPr>
          <w:rFonts w:ascii="Calibri" w:cs="Calibri" w:eastAsia="Calibri" w:hAnsi="Calibri"/>
          <w:sz w:val="21"/>
          <w:szCs w:val="21"/>
        </w:rPr>
        <w:t xml:space="preserve"> </w:t>
      </w:r>
    </w:p>
    <w:p>
      <w:pPr>
        <w:pStyle w:val="Heading1"/>
        <w:spacing w:after="100" w:before="320"/>
      </w:pPr>
      <w:r>
        <w:rPr>
          <w:rFonts w:ascii="Calibri" w:cs="Calibri" w:eastAsia="Calibri" w:hAnsi="Calibri"/>
          <w:b/>
          <w:bCs/>
          <w:color w:val="1F3864"/>
          <w:sz w:val="26"/>
          <w:szCs w:val="26"/>
        </w:rPr>
        <w:t xml:space="preserve">7. Work Plan</w:t>
      </w:r>
    </w:p>
    <w:p>
      <w:pPr>
        <w:spacing w:after="60"/>
      </w:pPr>
      <w:r>
        <w:rPr>
          <w:rFonts w:ascii="Calibri" w:cs="Calibri" w:eastAsia="Calibri" w:hAnsi="Calibri"/>
          <w:i/>
          <w:iCs/>
          <w:color w:val="757575"/>
          <w:sz w:val="19"/>
          <w:szCs w:val="19"/>
        </w:rPr>
        <w:t xml:space="preserve">Break the engagement into phases with target dates. What has to happen before the roadmap-planning deadline?</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2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Phase</w:t>
            </w:r>
          </w:p>
        </w:tc>
        <w:tc>
          <w:tcPr>
            <w:tcW w:type="dxa" w:w="22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Target Dates</w:t>
            </w:r>
          </w:p>
        </w:tc>
        <w:tc>
          <w:tcPr>
            <w:tcW w:type="dxa" w:w="41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Key Deliverable</w:t>
            </w:r>
          </w:p>
        </w:tc>
      </w:tr>
      <w:tr>
        <w:tc>
          <w:tcPr>
            <w:tcW w:type="dxa" w:w="32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r>
          </w:p>
        </w:tc>
        <w:tc>
          <w:tcPr>
            <w:tcW w:type="dxa" w:w="22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r>
          </w:p>
        </w:tc>
        <w:tc>
          <w:tcPr>
            <w:tcW w:type="dxa" w:w="41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r>
          </w:p>
        </w:tc>
      </w:tr>
      <w:tr>
        <w:tc>
          <w:tcPr>
            <w:tcW w:type="dxa" w:w="32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r>
          </w:p>
        </w:tc>
        <w:tc>
          <w:tcPr>
            <w:tcW w:type="dxa" w:w="22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r>
          </w:p>
        </w:tc>
        <w:tc>
          <w:tcPr>
            <w:tcW w:type="dxa" w:w="41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r>
          </w:p>
        </w:tc>
      </w:tr>
      <w:tr>
        <w:tc>
          <w:tcPr>
            <w:tcW w:type="dxa" w:w="32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r>
          </w:p>
        </w:tc>
        <w:tc>
          <w:tcPr>
            <w:tcW w:type="dxa" w:w="22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r>
          </w:p>
        </w:tc>
        <w:tc>
          <w:tcPr>
            <w:tcW w:type="dxa" w:w="41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
            </w:r>
          </w:p>
        </w:tc>
      </w:tr>
    </w:tbl>
    <w:p>
      <w:pPr>
        <w:pageBreakBefore/>
        <w:spacing w:after="0"/>
      </w:pPr>
    </w:p>
    <w:p>
      <w:pPr>
        <w:pStyle w:val="Heading1"/>
        <w:spacing w:after="100" w:before="320"/>
      </w:pPr>
      <w:r>
        <w:rPr>
          <w:rFonts w:ascii="Calibri" w:cs="Calibri" w:eastAsia="Calibri" w:hAnsi="Calibri"/>
          <w:b/>
          <w:bCs/>
          <w:color w:val="1F3864"/>
          <w:sz w:val="26"/>
          <w:szCs w:val="26"/>
        </w:rPr>
        <w:t xml:space="preserve">Model Answer</w:t>
      </w:r>
    </w:p>
    <w:p>
      <w:pPr>
        <w:spacing w:after="60"/>
      </w:pPr>
      <w:r>
        <w:rPr>
          <w:rFonts w:ascii="Calibri" w:cs="Calibri" w:eastAsia="Calibri" w:hAnsi="Calibri"/>
          <w:i/>
          <w:iCs/>
          <w:color w:val="757575"/>
          <w:sz w:val="19"/>
          <w:szCs w:val="19"/>
        </w:rPr>
        <w:t xml:space="preserve">One reasonable way to fill in the same scenario, for comparison rather than for copying. If you're running this with a team, the differences between your drafts are usually more useful to discuss than the model answer itself.</w:t>
      </w:r>
    </w:p>
    <w:p>
      <w:pPr>
        <w:spacing w:after="40"/>
      </w:pPr>
      <w:r>
        <w:rPr>
          <w:rFonts w:ascii="Calibri" w:cs="Calibri" w:eastAsia="Calibri" w:hAnsi="Calibri"/>
          <w:b/>
          <w:bCs/>
          <w:sz w:val="21"/>
          <w:szCs w:val="21"/>
        </w:rPr>
        <w:t xml:space="preserve">1. Background</w:t>
      </w:r>
    </w:p>
    <w:p>
      <w:pPr>
        <w:spacing w:after="140"/>
      </w:pPr>
      <w:r>
        <w:rPr>
          <w:rFonts w:ascii="Calibri" w:cs="Calibri" w:eastAsia="Calibri" w:hAnsi="Calibri"/>
          <w:i w:val="false"/>
          <w:iCs w:val="false"/>
          <w:sz w:val="21"/>
          <w:szCs w:val="21"/>
        </w:rPr>
        <w:t xml:space="preserve">The flagship product line hasn't had a structured customer-satisfaction review in over two years. Existing feedback is fragmented across support tickets and a handful of informal surveys, with no consistent method or comparable data over time. Leadership wants an independent, methodologically sound read on customer satisfaction, run by a specialist agency rather than in-house, so the findings are seen as credible input to next year's roadmap planning rather than another internal opinion.</w:t>
      </w:r>
    </w:p>
    <w:p>
      <w:pPr>
        <w:spacing w:after="40"/>
      </w:pPr>
      <w:r>
        <w:rPr>
          <w:rFonts w:ascii="Calibri" w:cs="Calibri" w:eastAsia="Calibri" w:hAnsi="Calibri"/>
          <w:b/>
          <w:bCs/>
          <w:sz w:val="21"/>
          <w:szCs w:val="21"/>
        </w:rPr>
        <w:t xml:space="preserve">2. Objectives</w:t>
      </w:r>
    </w:p>
    <w:p>
      <w:pPr>
        <w:pStyle w:val="ListParagraph"/>
        <w:numPr>
          <w:ilvl w:val="0"/>
          <w:numId w:val="2"/>
        </w:numPr>
        <w:spacing w:after="60"/>
      </w:pPr>
      <w:r>
        <w:rPr>
          <w:rFonts w:ascii="Calibri" w:cs="Calibri" w:eastAsia="Calibri" w:hAnsi="Calibri"/>
          <w:sz w:val="21"/>
          <w:szCs w:val="21"/>
        </w:rPr>
        <w:t xml:space="preserve">Produce a statistically representative satisfaction score (e.g. NPS or CSAT) for the flagship product line, benchmarked where possible against the last available internal data.</w:t>
      </w:r>
    </w:p>
    <w:p>
      <w:pPr>
        <w:pStyle w:val="ListParagraph"/>
        <w:numPr>
          <w:ilvl w:val="0"/>
          <w:numId w:val="2"/>
        </w:numPr>
        <w:spacing w:after="60"/>
      </w:pPr>
      <w:r>
        <w:rPr>
          <w:rFonts w:ascii="Calibri" w:cs="Calibri" w:eastAsia="Calibri" w:hAnsi="Calibri"/>
          <w:sz w:val="21"/>
          <w:szCs w:val="21"/>
        </w:rPr>
        <w:t xml:space="preserve">Identify the top 5 drivers of dissatisfaction, ranked by frequency and severity, with enough detail to inform specific roadmap decisions.</w:t>
      </w:r>
    </w:p>
    <w:p>
      <w:pPr>
        <w:pStyle w:val="ListParagraph"/>
        <w:numPr>
          <w:ilvl w:val="0"/>
          <w:numId w:val="2"/>
        </w:numPr>
        <w:spacing w:after="60"/>
      </w:pPr>
      <w:r>
        <w:rPr>
          <w:rFonts w:ascii="Calibri" w:cs="Calibri" w:eastAsia="Calibri" w:hAnsi="Calibri"/>
          <w:sz w:val="21"/>
          <w:szCs w:val="21"/>
        </w:rPr>
        <w:t xml:space="preserve">Deliver a final report and roadmap-planning workshop at least 3 weeks before the roadmap planning cycle begins.</w:t>
      </w:r>
    </w:p>
    <w:p>
      <w:pPr>
        <w:spacing w:after="40"/>
      </w:pPr>
      <w:r>
        <w:rPr>
          <w:rFonts w:ascii="Calibri" w:cs="Calibri" w:eastAsia="Calibri" w:hAnsi="Calibri"/>
          <w:b/>
          <w:bCs/>
          <w:sz w:val="21"/>
          <w:szCs w:val="21"/>
        </w:rPr>
        <w:t xml:space="preserve">3. Issues</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1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Issue</w:t>
            </w:r>
          </w:p>
        </w:tc>
        <w:tc>
          <w:tcPr>
            <w:tcW w:type="dxa" w:w="14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Impact</w:t>
            </w:r>
          </w:p>
        </w:tc>
        <w:tc>
          <w:tcPr>
            <w:tcW w:type="dxa" w:w="14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Urgency</w:t>
            </w:r>
          </w:p>
        </w:tc>
        <w:tc>
          <w:tcPr>
            <w:tcW w:type="dxa" w:w="18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Owner</w:t>
            </w:r>
          </w:p>
        </w:tc>
        <w:tc>
          <w:tcPr>
            <w:tcW w:type="dxa" w:w="18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Status</w:t>
            </w:r>
          </w:p>
        </w:tc>
      </w:tr>
      <w:tr>
        <w:tc>
          <w:tcPr>
            <w:tcW w:type="dxa" w:w="31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Customer contact list needs Legal sign-off before it can be shared with an external agency</w:t>
            </w:r>
          </w:p>
        </w:tc>
        <w:tc>
          <w:tcPr>
            <w:tcW w:type="dxa" w:w="14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High</w:t>
            </w:r>
          </w:p>
        </w:tc>
        <w:tc>
          <w:tcPr>
            <w:tcW w:type="dxa" w:w="14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High</w:t>
            </w:r>
          </w:p>
        </w:tc>
        <w:tc>
          <w:tcPr>
            <w:tcW w:type="dxa" w:w="18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Legal / Data Owner</w:t>
            </w:r>
          </w:p>
        </w:tc>
        <w:tc>
          <w:tcPr>
            <w:tcW w:type="dxa" w:w="18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Open</w:t>
            </w:r>
          </w:p>
        </w:tc>
      </w:tr>
      <w:tr>
        <w:tc>
          <w:tcPr>
            <w:tcW w:type="dxa" w:w="31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Survey sample may skew toward highly engaged customers if only opt-in channels are used</w:t>
            </w:r>
          </w:p>
        </w:tc>
        <w:tc>
          <w:tcPr>
            <w:tcW w:type="dxa" w:w="14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Medium</w:t>
            </w:r>
          </w:p>
        </w:tc>
        <w:tc>
          <w:tcPr>
            <w:tcW w:type="dxa" w:w="14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Medium</w:t>
            </w:r>
          </w:p>
        </w:tc>
        <w:tc>
          <w:tcPr>
            <w:tcW w:type="dxa" w:w="18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Agency / PM</w:t>
            </w:r>
          </w:p>
        </w:tc>
        <w:tc>
          <w:tcPr>
            <w:tcW w:type="dxa" w:w="18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Open</w:t>
            </w:r>
          </w:p>
        </w:tc>
      </w:tr>
    </w:tbl>
    <w:p>
      <w:pPr>
        <w:spacing w:after="40"/>
      </w:pPr>
      <w:r>
        <w:rPr>
          <w:rFonts w:ascii="Calibri" w:cs="Calibri" w:eastAsia="Calibri" w:hAnsi="Calibri"/>
          <w:b/>
          <w:bCs/>
          <w:sz w:val="21"/>
          <w:szCs w:val="21"/>
        </w:rPr>
        <w:t xml:space="preserve">4. Methodology</w:t>
      </w:r>
    </w:p>
    <w:p>
      <w:pPr>
        <w:spacing w:after="140"/>
      </w:pPr>
      <w:r>
        <w:rPr>
          <w:rFonts w:ascii="Calibri" w:cs="Calibri" w:eastAsia="Calibri" w:hAnsi="Calibri"/>
          <w:i w:val="false"/>
          <w:iCs w:val="false"/>
          <w:sz w:val="21"/>
          <w:szCs w:val="21"/>
        </w:rPr>
        <w:t xml:space="preserve">Mixed-method approach: a quantitative survey (target n=400+, stratified by customer segment and tenure) followed by 10-12 qualitative follow-up interviews with respondents who scored lowest, to explain the “why” behind the numbers. The agency validates the survey instrument with the Product and Customer Success teams before fielding it, and cross-checks quantitative findings against existing support-ticket themes as a sanity check.</w:t>
      </w:r>
    </w:p>
    <w:p>
      <w:pPr>
        <w:spacing w:after="40"/>
      </w:pPr>
      <w:r>
        <w:rPr>
          <w:rFonts w:ascii="Calibri" w:cs="Calibri" w:eastAsia="Calibri" w:hAnsi="Calibri"/>
          <w:b/>
          <w:bCs/>
          <w:sz w:val="21"/>
          <w:szCs w:val="21"/>
        </w:rPr>
        <w:t xml:space="preserve">5. Expertise Required</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26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Role</w:t>
            </w:r>
          </w:p>
        </w:tc>
        <w:tc>
          <w:tcPr>
            <w:tcW w:type="dxa" w:w="12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Count</w:t>
            </w:r>
          </w:p>
        </w:tc>
        <w:tc>
          <w:tcPr>
            <w:tcW w:type="dxa" w:w="57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Key skills / responsibility</w:t>
            </w:r>
          </w:p>
        </w:tc>
      </w:tr>
      <w:tr>
        <w:tc>
          <w:tcPr>
            <w:tcW w:type="dxa" w:w="26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Research Lead</w:t>
            </w:r>
          </w:p>
        </w:tc>
        <w:tc>
          <w:tcPr>
            <w:tcW w:type="dxa" w:w="12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1</w:t>
            </w:r>
          </w:p>
        </w:tc>
        <w:tc>
          <w:tcPr>
            <w:tcW w:type="dxa" w:w="57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Survey design, sampling methodology, overall quality of findings</w:t>
            </w:r>
          </w:p>
        </w:tc>
      </w:tr>
      <w:tr>
        <w:tc>
          <w:tcPr>
            <w:tcW w:type="dxa" w:w="26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Data Analyst</w:t>
            </w:r>
          </w:p>
        </w:tc>
        <w:tc>
          <w:tcPr>
            <w:tcW w:type="dxa" w:w="12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1</w:t>
            </w:r>
          </w:p>
        </w:tc>
        <w:tc>
          <w:tcPr>
            <w:tcW w:type="dxa" w:w="57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Quantitative analysis, statistical significance checks, benchmarking</w:t>
            </w:r>
          </w:p>
        </w:tc>
      </w:tr>
      <w:tr>
        <w:tc>
          <w:tcPr>
            <w:tcW w:type="dxa" w:w="26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Qualitative Researcher</w:t>
            </w:r>
          </w:p>
        </w:tc>
        <w:tc>
          <w:tcPr>
            <w:tcW w:type="dxa" w:w="12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1</w:t>
            </w:r>
          </w:p>
        </w:tc>
        <w:tc>
          <w:tcPr>
            <w:tcW w:type="dxa" w:w="57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Follow-up interviews, thematic coding</w:t>
            </w:r>
          </w:p>
        </w:tc>
      </w:tr>
    </w:tbl>
    <w:p>
      <w:pPr>
        <w:spacing w:after="40"/>
      </w:pPr>
      <w:r>
        <w:rPr>
          <w:rFonts w:ascii="Calibri" w:cs="Calibri" w:eastAsia="Calibri" w:hAnsi="Calibri"/>
          <w:b/>
          <w:bCs/>
          <w:sz w:val="21"/>
          <w:szCs w:val="21"/>
        </w:rPr>
        <w:t xml:space="preserve">6. Reporting</w:t>
      </w:r>
    </w:p>
    <w:p>
      <w:pPr>
        <w:spacing w:after="140"/>
      </w:pPr>
      <w:r>
        <w:rPr>
          <w:rFonts w:ascii="Calibri" w:cs="Calibri" w:eastAsia="Calibri" w:hAnsi="Calibri"/>
          <w:i w:val="false"/>
          <w:iCs w:val="false"/>
          <w:sz w:val="21"/>
          <w:szCs w:val="21"/>
        </w:rPr>
        <w:t xml:space="preserve">Biweekly status update (email) to the internal Project Lead; a mid-point findings review call after quantitative fieldwork closes; final report and workshop delivered in person or via video call to the Product Director and Customer Success Lead.</w:t>
      </w:r>
    </w:p>
    <w:p>
      <w:pPr>
        <w:spacing w:after="40"/>
      </w:pPr>
      <w:r>
        <w:rPr>
          <w:rFonts w:ascii="Calibri" w:cs="Calibri" w:eastAsia="Calibri" w:hAnsi="Calibri"/>
          <w:b/>
          <w:bCs/>
          <w:sz w:val="21"/>
          <w:szCs w:val="21"/>
        </w:rPr>
        <w:t xml:space="preserve">7. Work Plan</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2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Phase</w:t>
            </w:r>
          </w:p>
        </w:tc>
        <w:tc>
          <w:tcPr>
            <w:tcW w:type="dxa" w:w="22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Target Dates</w:t>
            </w:r>
          </w:p>
        </w:tc>
        <w:tc>
          <w:tcPr>
            <w:tcW w:type="dxa" w:w="4100"/>
            <w:shd w:fill="1F3864" w:val="clear"/>
            <w:tcMar>
              <w:top w:type="dxa" w:w="100"/>
              <w:left w:type="dxa" w:w="120"/>
              <w:bottom w:type="dxa" w:w="100"/>
              <w:right w:type="dxa" w:w="120"/>
            </w:tcMar>
          </w:tcPr>
          <w:p>
            <w:r>
              <w:rPr>
                <w:rFonts w:ascii="Calibri" w:cs="Calibri" w:eastAsia="Calibri" w:hAnsi="Calibri"/>
                <w:b/>
                <w:bCs/>
                <w:color w:val="FFFFFF"/>
                <w:sz w:val="20"/>
                <w:szCs w:val="20"/>
              </w:rPr>
              <w:t xml:space="preserve">Key Deliverable</w:t>
            </w:r>
          </w:p>
        </w:tc>
      </w:tr>
      <w:tr>
        <w:tc>
          <w:tcPr>
            <w:tcW w:type="dxa" w:w="32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Instrument design &amp; sign-off</w:t>
            </w:r>
          </w:p>
        </w:tc>
        <w:tc>
          <w:tcPr>
            <w:tcW w:type="dxa" w:w="22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Weeks 1-2</w:t>
            </w:r>
          </w:p>
        </w:tc>
        <w:tc>
          <w:tcPr>
            <w:tcW w:type="dxa" w:w="41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Approved survey + interview guide</w:t>
            </w:r>
          </w:p>
        </w:tc>
      </w:tr>
      <w:tr>
        <w:tc>
          <w:tcPr>
            <w:tcW w:type="dxa" w:w="32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Quantitative fieldwork</w:t>
            </w:r>
          </w:p>
        </w:tc>
        <w:tc>
          <w:tcPr>
            <w:tcW w:type="dxa" w:w="22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Weeks 3-5</w:t>
            </w:r>
          </w:p>
        </w:tc>
        <w:tc>
          <w:tcPr>
            <w:tcW w:type="dxa" w:w="41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400+ completed responses</w:t>
            </w:r>
          </w:p>
        </w:tc>
      </w:tr>
      <w:tr>
        <w:tc>
          <w:tcPr>
            <w:tcW w:type="dxa" w:w="32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Qualitative interviews &amp; analysis</w:t>
            </w:r>
          </w:p>
        </w:tc>
        <w:tc>
          <w:tcPr>
            <w:tcW w:type="dxa" w:w="22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Weeks 6-7</w:t>
            </w:r>
          </w:p>
        </w:tc>
        <w:tc>
          <w:tcPr>
            <w:tcW w:type="dxa" w:w="41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Coded themes, draft findings</w:t>
            </w:r>
          </w:p>
        </w:tc>
      </w:tr>
      <w:tr>
        <w:tc>
          <w:tcPr>
            <w:tcW w:type="dxa" w:w="32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Final report &amp; workshop</w:t>
            </w:r>
          </w:p>
        </w:tc>
        <w:tc>
          <w:tcPr>
            <w:tcW w:type="dxa" w:w="22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Week 8</w:t>
            </w:r>
          </w:p>
        </w:tc>
        <w:tc>
          <w:tcPr>
            <w:tcW w:type="dxa" w:w="4100"/>
            <w:shd w:fill="F4F6FA" w:val="clear"/>
            <w:tcMar>
              <w:top w:type="dxa" w:w="100"/>
              <w:left w:type="dxa" w:w="120"/>
              <w:bottom w:type="dxa" w:w="100"/>
              <w:right w:type="dxa" w:w="120"/>
            </w:tcMar>
          </w:tcPr>
          <w:p>
            <w:r>
              <w:rPr>
                <w:rFonts w:ascii="Calibri" w:cs="Calibri" w:eastAsia="Calibri" w:hAnsi="Calibri"/>
                <w:b w:val="false"/>
                <w:bCs w:val="false"/>
                <w:color w:val="000000"/>
                <w:sz w:val="20"/>
                <w:szCs w:val="20"/>
              </w:rPr>
              <w:t xml:space="preserve">Final report delivered, roadmap workshop held</w:t>
            </w:r>
          </w:p>
        </w:tc>
      </w:tr>
    </w:tbl>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8ajjvqsasolzm4vs6jmb" Type="http://schemas.openxmlformats.org/officeDocument/2006/relationships/hyperlink" Target="https://mymanagementguide.com/terms-of-reference-tor-template/"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2026-09-14T06:10:18.349Z</dcterms:created>
  <dcterms:modified xsi:type="dcterms:W3CDTF">2026-09-14T06:10:18.349Z</dcterms:modified>
</cp:coreProperties>
</file>

<file path=docProps/custom.xml><?xml version="1.0" encoding="utf-8"?>
<Properties xmlns="http://schemas.openxmlformats.org/officeDocument/2006/custom-properties" xmlns:vt="http://schemas.openxmlformats.org/officeDocument/2006/docPropsVTypes"/>
</file>